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E3" w:rsidRPr="00066B90" w:rsidRDefault="000D19E3" w:rsidP="000D19E3">
      <w:pPr>
        <w:jc w:val="center"/>
        <w:rPr>
          <w:rFonts w:asciiTheme="majorHAnsi" w:hAnsiTheme="majorHAnsi"/>
          <w:b/>
          <w:sz w:val="28"/>
          <w:u w:val="single"/>
        </w:rPr>
      </w:pPr>
      <w:r w:rsidRPr="00066B90">
        <w:rPr>
          <w:rFonts w:asciiTheme="majorHAnsi" w:hAnsiTheme="majorHAnsi"/>
          <w:b/>
          <w:sz w:val="28"/>
          <w:u w:val="single"/>
        </w:rPr>
        <w:t>IB OPTION UNIT – URBAN ENVIRONMENTS</w:t>
      </w:r>
    </w:p>
    <w:p w:rsidR="000D19E3" w:rsidRDefault="000D19E3" w:rsidP="000D19E3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</w:p>
    <w:tbl>
      <w:tblPr>
        <w:tblStyle w:val="TableGrid"/>
        <w:tblW w:w="9934" w:type="dxa"/>
        <w:tblInd w:w="-459" w:type="dxa"/>
        <w:tblLook w:val="00BF" w:firstRow="1" w:lastRow="0" w:firstColumn="1" w:lastColumn="0" w:noHBand="0" w:noVBand="0"/>
      </w:tblPr>
      <w:tblGrid>
        <w:gridCol w:w="8000"/>
        <w:gridCol w:w="644"/>
        <w:gridCol w:w="645"/>
        <w:gridCol w:w="645"/>
      </w:tblGrid>
      <w:tr w:rsidR="000D19E3" w:rsidTr="000D19E3">
        <w:trPr>
          <w:trHeight w:val="302"/>
        </w:trPr>
        <w:tc>
          <w:tcPr>
            <w:tcW w:w="8000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jc w:val="center"/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30 HOURS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0D19E3" w:rsidRPr="000D19E3" w:rsidRDefault="00066B90" w:rsidP="000D19E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jc w:val="center"/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jc w:val="center"/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R</w:t>
            </w:r>
          </w:p>
        </w:tc>
      </w:tr>
      <w:tr w:rsidR="000D19E3" w:rsidTr="000D19E3">
        <w:trPr>
          <w:trHeight w:val="302"/>
        </w:trPr>
        <w:tc>
          <w:tcPr>
            <w:tcW w:w="9934" w:type="dxa"/>
            <w:gridSpan w:val="4"/>
            <w:shd w:val="clear" w:color="auto" w:fill="CCCCCC"/>
          </w:tcPr>
          <w:p w:rsidR="000D19E3" w:rsidRPr="000D19E3" w:rsidRDefault="000D19E3" w:rsidP="000D19E3">
            <w:pPr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URBAN POPULATIONS</w:t>
            </w:r>
          </w:p>
        </w:tc>
      </w:tr>
      <w:tr w:rsidR="000D19E3" w:rsidTr="000D19E3">
        <w:trPr>
          <w:trHeight w:val="324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Define urbanization and explain the variation in global growth rates and patterns.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processes of centripetal movements (rural– urban migration, gentrification, re-urbanization/urban renewal).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processes of centrifugal movements (suburbanization, counter-urbanization, urban sprawl).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contribution of natural change to patterns of population density within urban areas.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global increase in the number and location of megacities (population over 10 million).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24"/>
        </w:trPr>
        <w:tc>
          <w:tcPr>
            <w:tcW w:w="9934" w:type="dxa"/>
            <w:gridSpan w:val="4"/>
            <w:shd w:val="clear" w:color="auto" w:fill="CCCCCC"/>
          </w:tcPr>
          <w:p w:rsidR="000D19E3" w:rsidRPr="000D19E3" w:rsidRDefault="000D19E3" w:rsidP="000D19E3">
            <w:pPr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URBAN LAND USE</w:t>
            </w: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location of residential areas in relation to wealth, ethnicity and family status (stage in life cycle).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Examine patterns of urban poverty and deprivation (such as slums, squatter settlements, areas of low-cost housing and inner-city areas).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24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Examine the causes and effects of the movement of socio-economic groups since the 1980s.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Explain the spatial pattern of economic activity, the zoning of urban and suburban functions and the internal structure of the central business district (CBD).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Describe the informal sector; its characteristics and location in urban areas.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Examine the causes and effects of the movement of retailing, service and manufacturing activities to new locations, including brownfield sites.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9934" w:type="dxa"/>
            <w:gridSpan w:val="4"/>
            <w:shd w:val="clear" w:color="auto" w:fill="CCCCCC"/>
          </w:tcPr>
          <w:p w:rsidR="000D19E3" w:rsidRPr="000D19E3" w:rsidRDefault="000D19E3" w:rsidP="000D19E3">
            <w:pPr>
              <w:rPr>
                <w:rFonts w:asciiTheme="majorHAnsi" w:hAnsiTheme="majorHAnsi"/>
                <w:b/>
              </w:rPr>
            </w:pPr>
            <w:r w:rsidRPr="000D19E3">
              <w:rPr>
                <w:rFonts w:asciiTheme="majorHAnsi" w:hAnsiTheme="majorHAnsi"/>
                <w:b/>
              </w:rPr>
              <w:t>URBAN STRESS</w:t>
            </w:r>
          </w:p>
        </w:tc>
      </w:tr>
      <w:tr w:rsidR="000D19E3" w:rsidTr="000D19E3">
        <w:trPr>
          <w:trHeight w:val="324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Examine the effects of structures and human activity on urban microclimates, including the urban heat island effect and air pollution.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Examine the other symptoms of urban stress including congestion, overcrowding and noise, depletion of green space, waste overburden, poor quality housing, social deprivation, crime and inequality.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9934" w:type="dxa"/>
            <w:gridSpan w:val="4"/>
            <w:shd w:val="clear" w:color="auto" w:fill="CCCCCC"/>
          </w:tcPr>
          <w:p w:rsidR="000D19E3" w:rsidRPr="000D19E3" w:rsidRDefault="000D19E3" w:rsidP="000D19E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SUSTAINABLE CITY</w:t>
            </w:r>
          </w:p>
        </w:tc>
      </w:tr>
      <w:tr w:rsidR="000D19E3" w:rsidTr="00D80407">
        <w:trPr>
          <w:trHeight w:val="690"/>
        </w:trPr>
        <w:tc>
          <w:tcPr>
            <w:tcW w:w="8000" w:type="dxa"/>
            <w:tcBorders>
              <w:bottom w:val="single" w:sz="4" w:space="0" w:color="000000" w:themeColor="text1"/>
            </w:tcBorders>
          </w:tcPr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Describe the city as a system in terms of:</w:t>
            </w:r>
          </w:p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• inputs—energy, water, people, materials, products, food (urban agriculture)</w:t>
            </w:r>
          </w:p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• outputs—solid, atmospheric and liquid waste, noise, people.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Distinguish between a sustainable circular system where inputs are reduced and outputs are recycled and an unsustainable (open/linear) city system with uncontrolled inputs and outputs.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40"/>
        </w:trPr>
        <w:tc>
          <w:tcPr>
            <w:tcW w:w="8000" w:type="dxa"/>
          </w:tcPr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Referring to at least two city case studies, discuss the concepts of:</w:t>
            </w:r>
          </w:p>
          <w:p w:rsidR="000D19E3" w:rsidRPr="000D19E3" w:rsidRDefault="000D19E3" w:rsidP="000D19E3">
            <w:pPr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• Sustainable city management</w:t>
            </w:r>
          </w:p>
        </w:tc>
        <w:tc>
          <w:tcPr>
            <w:tcW w:w="644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 w:rsidTr="000D19E3">
        <w:trPr>
          <w:trHeight w:val="340"/>
        </w:trPr>
        <w:tc>
          <w:tcPr>
            <w:tcW w:w="8000" w:type="dxa"/>
          </w:tcPr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• The urban ecological footprint.</w:t>
            </w:r>
          </w:p>
        </w:tc>
        <w:tc>
          <w:tcPr>
            <w:tcW w:w="644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  <w:shd w:val="clear" w:color="auto" w:fill="auto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Evaluate a case study of a socially sustainable housing management</w:t>
            </w:r>
            <w:r>
              <w:rPr>
                <w:rFonts w:asciiTheme="majorHAnsi" w:hAnsiTheme="majorHAnsi" w:cs="Helvetica"/>
                <w:color w:val="141413"/>
                <w:sz w:val="22"/>
                <w:szCs w:val="19"/>
              </w:rPr>
              <w:t xml:space="preserve"> </w:t>
            </w: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strategy.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color w:val="141413"/>
                <w:sz w:val="22"/>
                <w:szCs w:val="19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 xml:space="preserve">Evaluate a case study of </w:t>
            </w:r>
            <w:proofErr w:type="gramStart"/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a</w:t>
            </w:r>
            <w:proofErr w:type="gramEnd"/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 xml:space="preserve"> environmentally s</w:t>
            </w:r>
            <w:r>
              <w:rPr>
                <w:rFonts w:asciiTheme="majorHAnsi" w:hAnsiTheme="majorHAnsi" w:cs="Helvetica"/>
                <w:color w:val="141413"/>
                <w:sz w:val="22"/>
                <w:szCs w:val="19"/>
              </w:rPr>
              <w:t xml:space="preserve">ustainable pollution management </w:t>
            </w: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strategy.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  <w:tr w:rsidR="000D19E3">
        <w:trPr>
          <w:trHeight w:val="302"/>
        </w:trPr>
        <w:tc>
          <w:tcPr>
            <w:tcW w:w="8000" w:type="dxa"/>
          </w:tcPr>
          <w:p w:rsidR="000D19E3" w:rsidRPr="000D19E3" w:rsidRDefault="000D19E3" w:rsidP="000D19E3">
            <w:pPr>
              <w:rPr>
                <w:rFonts w:asciiTheme="majorHAnsi" w:hAnsiTheme="majorHAnsi"/>
                <w:sz w:val="22"/>
              </w:rPr>
            </w:pPr>
            <w:r w:rsidRPr="000D19E3">
              <w:rPr>
                <w:rFonts w:asciiTheme="majorHAnsi" w:hAnsiTheme="majorHAnsi" w:cs="Helvetica"/>
                <w:color w:val="141413"/>
                <w:sz w:val="22"/>
                <w:szCs w:val="19"/>
              </w:rPr>
              <w:t>Evaluate a case study of a strategy to control rapid city growth resulting from in-migration.</w:t>
            </w:r>
          </w:p>
        </w:tc>
        <w:tc>
          <w:tcPr>
            <w:tcW w:w="644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  <w:tc>
          <w:tcPr>
            <w:tcW w:w="645" w:type="dxa"/>
          </w:tcPr>
          <w:p w:rsidR="000D19E3" w:rsidRDefault="000D19E3" w:rsidP="000D19E3">
            <w:pPr>
              <w:rPr>
                <w:rFonts w:asciiTheme="majorHAnsi" w:hAnsiTheme="majorHAnsi"/>
              </w:rPr>
            </w:pPr>
          </w:p>
        </w:tc>
      </w:tr>
    </w:tbl>
    <w:p w:rsidR="00727082" w:rsidRPr="000D19E3" w:rsidRDefault="00E670CD" w:rsidP="000D19E3">
      <w:pPr>
        <w:rPr>
          <w:rFonts w:asciiTheme="majorHAnsi" w:hAnsiTheme="majorHAnsi"/>
        </w:rPr>
      </w:pPr>
    </w:p>
    <w:sectPr w:rsidR="00727082" w:rsidRPr="000D19E3" w:rsidSect="000D1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CD" w:rsidRDefault="00E670CD">
      <w:r>
        <w:separator/>
      </w:r>
    </w:p>
  </w:endnote>
  <w:endnote w:type="continuationSeparator" w:id="0">
    <w:p w:rsidR="00E670CD" w:rsidRDefault="00E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CD" w:rsidRDefault="00E670CD">
      <w:r>
        <w:separator/>
      </w:r>
    </w:p>
  </w:footnote>
  <w:footnote w:type="continuationSeparator" w:id="0">
    <w:p w:rsidR="00E670CD" w:rsidRDefault="00E6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E3" w:rsidRDefault="000D1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E3"/>
    <w:rsid w:val="00066B90"/>
    <w:rsid w:val="000D19E3"/>
    <w:rsid w:val="001509E3"/>
    <w:rsid w:val="00E67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87E84-048F-4B03-807B-A8D99C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9E3"/>
  </w:style>
  <w:style w:type="paragraph" w:styleId="Footer">
    <w:name w:val="footer"/>
    <w:basedOn w:val="Normal"/>
    <w:link w:val="FooterChar"/>
    <w:uiPriority w:val="99"/>
    <w:semiHidden/>
    <w:unhideWhenUsed/>
    <w:rsid w:val="000D1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  <wetp:taskpane dockstate="right" visibility="0" width="525" row="2">
    <wetp:webextensionref xmlns:r="http://schemas.openxmlformats.org/officeDocument/2006/relationships" r:id="rId2"/>
  </wetp:taskpane>
  <wetp:taskpane dockstate="right" visibility="0" width="525" row="3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DE381698-6DBC-4D0E-B55C-7D336CE62E2B}">
  <we:reference id="wa104041485" version="1.1.1.0" store="en-US" storeType="OMEX"/>
  <we:alternateReferences>
    <we:reference id="WA104041485" version="1.1.1.0" store="WA104041485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2555044-8E27-4FED-918F-306B437A3AB5}">
  <we:reference id="wa104150524" version="1.0.0.1" store="en-US" storeType="OMEX"/>
  <we:alternateReferences>
    <we:reference id="WA104150524" version="1.0.0.1" store="WA10415052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ECBFE0-A267-4CB5-BBD8-E01190EF5644}">
  <we:reference id="wa104364352" version="1.0.1.1" store="en-US" storeType="OMEX"/>
  <we:alternateReferences>
    <we:reference id="WA104364352" version="1.0.1.1" store="WA10436435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7DD7-AF53-410E-843F-B9057AB4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School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Randay</dc:creator>
  <cp:keywords/>
  <cp:lastModifiedBy>martin roberts</cp:lastModifiedBy>
  <cp:revision>3</cp:revision>
  <dcterms:created xsi:type="dcterms:W3CDTF">2015-09-09T06:49:00Z</dcterms:created>
  <dcterms:modified xsi:type="dcterms:W3CDTF">2015-09-09T06:49:00Z</dcterms:modified>
</cp:coreProperties>
</file>